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32C16" w14:textId="6BC2EA6B" w:rsidR="00BC4F5D" w:rsidRPr="00F23E2F" w:rsidRDefault="007A79B6" w:rsidP="00CB4A38">
      <w:pPr>
        <w:pStyle w:val="Heading1"/>
      </w:pPr>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xml:space="preserve">, or two weeks after the second dose of any combination of two </w:t>
      </w:r>
      <w:r w:rsidR="00362598">
        <w:rPr>
          <w:i/>
          <w:iCs/>
        </w:rPr>
        <w:lastRenderedPageBreak/>
        <w:t>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w:t>
      </w:r>
      <w:proofErr w:type="gramStart"/>
      <w:r w:rsidR="7006BACC" w:rsidRPr="60EB44DA">
        <w:rPr>
          <w:i/>
          <w:iCs/>
        </w:rPr>
        <w:t>two dose</w:t>
      </w:r>
      <w:proofErr w:type="gramEnd"/>
      <w:r w:rsidR="7006BACC" w:rsidRPr="60EB44DA">
        <w:rPr>
          <w:i/>
          <w:iCs/>
        </w:rPr>
        <w:t xml:space="preserv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lastRenderedPageBreak/>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40220D"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130CD4">
        <w:trPr>
          <w:trHeight w:val="1637"/>
        </w:trPr>
        <w:tc>
          <w:tcPr>
            <w:tcW w:w="3094" w:type="dxa"/>
            <w:tcBorders>
              <w:bottom w:val="single" w:sz="4" w:space="0" w:color="auto"/>
            </w:tcBorders>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
          <w:p w14:paraId="06B11734" w14:textId="62DC67B7" w:rsidR="000456CE" w:rsidRPr="00AB630B" w:rsidRDefault="0040220D" w:rsidP="005A7CC7">
            <w:pPr>
              <w:pStyle w:val="ListParagraph"/>
              <w:ind w:left="0"/>
              <w:rPr>
                <w:rFonts w:cstheme="minorHAnsi"/>
                <w:i/>
              </w:rPr>
            </w:pPr>
            <w:hyperlink r:id="rId15"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130CD4">
        <w:trPr>
          <w:trHeight w:val="1009"/>
        </w:trPr>
        <w:tc>
          <w:tcPr>
            <w:tcW w:w="3094" w:type="dxa"/>
            <w:tcBorders>
              <w:bottom w:val="nil"/>
            </w:tcBorders>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130CD4">
        <w:trPr>
          <w:trHeight w:val="1072"/>
        </w:trPr>
        <w:tc>
          <w:tcPr>
            <w:tcW w:w="3094" w:type="dxa"/>
            <w:tcBorders>
              <w:top w:val="nil"/>
            </w:tcBorders>
          </w:tcPr>
          <w:p w14:paraId="226A6601" w14:textId="1BE26DE1" w:rsidR="00876232" w:rsidRPr="00AB630B" w:rsidRDefault="00876232" w:rsidP="00876232">
            <w:pPr>
              <w:pStyle w:val="ListParagraph"/>
              <w:ind w:left="0"/>
              <w:rPr>
                <w:rFonts w:cstheme="minorHAnsi"/>
                <w:i/>
              </w:rPr>
            </w:pPr>
          </w:p>
        </w:tc>
        <w:tc>
          <w:tcPr>
            <w:tcW w:w="3753" w:type="dxa"/>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
          <w:p w14:paraId="089D3E77" w14:textId="7C117F86" w:rsidR="00876232" w:rsidRPr="009F1675" w:rsidRDefault="00876232" w:rsidP="00876232">
            <w:pPr>
              <w:pStyle w:val="ListParagraph"/>
              <w:ind w:left="0"/>
              <w:rPr>
                <w:rFonts w:cstheme="minorHAnsi"/>
                <w:i/>
              </w:rPr>
            </w:pPr>
          </w:p>
        </w:tc>
      </w:tr>
    </w:tbl>
    <w:p w14:paraId="3FC5B166" w14:textId="77777777"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w:t>
      </w:r>
      <w:r w:rsidR="007638C3" w:rsidRPr="00E9204C">
        <w:rPr>
          <w:rFonts w:cstheme="minorHAnsi"/>
          <w:b/>
          <w:color w:val="2E74B5" w:themeColor="accent1" w:themeShade="BF"/>
        </w:rPr>
        <w:lastRenderedPageBreak/>
        <w:t>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lastRenderedPageBreak/>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6">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lastRenderedPageBreak/>
        <w:t xml:space="preserve">Employees who have received a positive COVID-19 </w:t>
      </w:r>
      <w:proofErr w:type="gramStart"/>
      <w:r w:rsidRPr="00DC1E89">
        <w:rPr>
          <w:rFonts w:cstheme="minorHAnsi"/>
          <w:i/>
        </w:rPr>
        <w:t>test, or</w:t>
      </w:r>
      <w:proofErr w:type="gramEnd"/>
      <w:r w:rsidRPr="00DC1E89">
        <w:rPr>
          <w:rFonts w:cstheme="minorHAnsi"/>
          <w:i/>
        </w:rPr>
        <w:t xml:space="preserve">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lastRenderedPageBreak/>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 xml:space="preserve">All medical information collected from individuals, including vaccination information, test results, and any other information obtained </w:t>
      </w:r>
      <w:proofErr w:type="gramStart"/>
      <w:r w:rsidRPr="001B6A97">
        <w:rPr>
          <w:rFonts w:cstheme="minorHAnsi"/>
          <w:bCs/>
          <w:i/>
        </w:rPr>
        <w:t>as a result of</w:t>
      </w:r>
      <w:proofErr w:type="gramEnd"/>
      <w:r w:rsidRPr="001B6A97">
        <w:rPr>
          <w:rFonts w:cstheme="minorHAnsi"/>
          <w:bCs/>
          <w:i/>
        </w:rPr>
        <w:t xml:space="preserve">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7"/>
      <w:footerReference w:type="default" r:id="rId18"/>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164D" w14:textId="77777777" w:rsidR="0040220D" w:rsidRDefault="0040220D" w:rsidP="00DE2763">
      <w:pPr>
        <w:spacing w:after="0" w:line="240" w:lineRule="auto"/>
      </w:pPr>
      <w:r>
        <w:separator/>
      </w:r>
    </w:p>
  </w:endnote>
  <w:endnote w:type="continuationSeparator" w:id="0">
    <w:p w14:paraId="6014E53A" w14:textId="77777777" w:rsidR="0040220D" w:rsidRDefault="0040220D"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72362"/>
      <w:docPartObj>
        <w:docPartGallery w:val="Page Numbers (Bottom of Page)"/>
        <w:docPartUnique/>
      </w:docPartObj>
    </w:sdtPr>
    <w:sdtEndPr>
      <w:rPr>
        <w:noProof/>
      </w:rPr>
    </w:sdtEndPr>
    <w:sdtContent>
      <w:p w14:paraId="742A2E05" w14:textId="6DDB548D" w:rsidR="00F23E2F" w:rsidRDefault="00F23E2F" w:rsidP="00CB4A38">
        <w:pPr>
          <w:pStyle w:val="Footer"/>
          <w:jc w:val="center"/>
        </w:pPr>
        <w:r>
          <w:fldChar w:fldCharType="begin"/>
        </w:r>
        <w:r>
          <w:instrText xml:space="preserve"> PAGE   \* MERGEFORMAT </w:instrText>
        </w:r>
        <w:r>
          <w:fldChar w:fldCharType="separate"/>
        </w:r>
        <w:r w:rsidR="00130CD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361A1" w14:textId="77777777" w:rsidR="0040220D" w:rsidRDefault="0040220D" w:rsidP="00DE2763">
      <w:pPr>
        <w:spacing w:after="0" w:line="240" w:lineRule="auto"/>
      </w:pPr>
      <w:r>
        <w:separator/>
      </w:r>
    </w:p>
  </w:footnote>
  <w:footnote w:type="continuationSeparator" w:id="0">
    <w:p w14:paraId="6B3B3CFB" w14:textId="77777777" w:rsidR="0040220D" w:rsidRDefault="0040220D"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0CD4"/>
    <w:rsid w:val="00135E05"/>
    <w:rsid w:val="001749BB"/>
    <w:rsid w:val="00175FC7"/>
    <w:rsid w:val="00181270"/>
    <w:rsid w:val="00181DA9"/>
    <w:rsid w:val="00194470"/>
    <w:rsid w:val="001B62EA"/>
    <w:rsid w:val="001B6A97"/>
    <w:rsid w:val="001D78EC"/>
    <w:rsid w:val="001E7744"/>
    <w:rsid w:val="002017AF"/>
    <w:rsid w:val="002039A6"/>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0220D"/>
    <w:rsid w:val="00417A3E"/>
    <w:rsid w:val="00433DD9"/>
    <w:rsid w:val="00441BA8"/>
    <w:rsid w:val="00443C6C"/>
    <w:rsid w:val="00454E7B"/>
    <w:rsid w:val="0046756D"/>
    <w:rsid w:val="00473881"/>
    <w:rsid w:val="004A3487"/>
    <w:rsid w:val="004B2B38"/>
    <w:rsid w:val="004B620F"/>
    <w:rsid w:val="004C51A3"/>
    <w:rsid w:val="004C578B"/>
    <w:rsid w:val="004D03B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11A37"/>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1851"/>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osha.gov/sites/default/files/CDC's_Isolation_Guidanc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Id5" Type="http://schemas.openxmlformats.org/officeDocument/2006/relationships/numbering" Target="numbering.xml"/><Relationship Id="rId15" Type="http://schemas.openxmlformats.org/officeDocument/2006/relationships/hyperlink" Target="https://uconn.kualibuild.com/app/build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2.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941DA8-167F-423D-B449-E8E3B067CE9A}">
  <ds:schemaRefs>
    <ds:schemaRef ds:uri="http://schemas.openxmlformats.org/officeDocument/2006/bibliography"/>
  </ds:schemaRefs>
</ds:datastoreItem>
</file>

<file path=customXml/itemProps4.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Block, Wendy</cp:lastModifiedBy>
  <cp:revision>2</cp:revision>
  <dcterms:created xsi:type="dcterms:W3CDTF">2021-11-08T14:56:00Z</dcterms:created>
  <dcterms:modified xsi:type="dcterms:W3CDTF">2021-11-08T14:56:00Z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